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211120" w:rsidTr="00FB1D6C">
        <w:trPr>
          <w:cantSplit/>
          <w:trHeight w:val="312"/>
        </w:trPr>
        <w:tc>
          <w:tcPr>
            <w:tcW w:w="1231" w:type="pct"/>
            <w:vMerge w:val="restart"/>
            <w:tcBorders>
              <w:right w:val="single" w:sz="4" w:space="0" w:color="auto"/>
            </w:tcBorders>
            <w:vAlign w:val="center"/>
          </w:tcPr>
          <w:p w:rsidR="0062652D" w:rsidRPr="00CC3694" w:rsidRDefault="00F82143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52D" w:rsidRPr="00F026C5" w:rsidRDefault="00FB1D6C" w:rsidP="00F026C5">
            <w:pPr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/</w:t>
            </w:r>
            <w:r w:rsidR="00F8214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BİRİM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ADI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B1D6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B1D6C">
        <w:trPr>
          <w:cantSplit/>
          <w:trHeight w:val="312"/>
        </w:trPr>
        <w:tc>
          <w:tcPr>
            <w:tcW w:w="1231" w:type="pct"/>
            <w:vMerge/>
            <w:tcBorders>
              <w:right w:val="single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652D" w:rsidRPr="00B24C33" w:rsidRDefault="00FB1D6C" w:rsidP="00F026C5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B1D6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B1D6C">
        <w:trPr>
          <w:cantSplit/>
          <w:trHeight w:val="312"/>
        </w:trPr>
        <w:tc>
          <w:tcPr>
            <w:tcW w:w="1231" w:type="pct"/>
            <w:vMerge/>
            <w:tcBorders>
              <w:right w:val="single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tcBorders>
              <w:left w:val="single" w:sz="4" w:space="0" w:color="auto"/>
            </w:tcBorders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B1D6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B1D6C">
        <w:trPr>
          <w:cantSplit/>
          <w:trHeight w:val="312"/>
        </w:trPr>
        <w:tc>
          <w:tcPr>
            <w:tcW w:w="1231" w:type="pct"/>
            <w:vMerge/>
            <w:tcBorders>
              <w:right w:val="single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tcBorders>
              <w:left w:val="single" w:sz="4" w:space="0" w:color="auto"/>
            </w:tcBorders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B1D6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FB1D6C">
        <w:trPr>
          <w:cantSplit/>
          <w:trHeight w:val="328"/>
        </w:trPr>
        <w:tc>
          <w:tcPr>
            <w:tcW w:w="1231" w:type="pct"/>
            <w:vMerge/>
            <w:tcBorders>
              <w:right w:val="single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tcBorders>
              <w:left w:val="single" w:sz="4" w:space="0" w:color="auto"/>
            </w:tcBorders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F74F24" w:rsidP="00FB1D6C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ekipmanlar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Toplama, taşıma ve depolama sırasında oluşabilecek dökülme</w:t>
      </w:r>
      <w:r w:rsidR="00FB1D6C">
        <w:rPr>
          <w:rFonts w:ascii="Times New Roman" w:hAnsi="Times New Roman" w:cs="Times New Roman"/>
        </w:rPr>
        <w:t xml:space="preserve"> </w:t>
      </w:r>
      <w:r w:rsidRPr="00F026C5">
        <w:rPr>
          <w:rFonts w:ascii="Times New Roman" w:hAnsi="Times New Roman" w:cs="Times New Roman"/>
        </w:rPr>
        <w:t xml:space="preserve">ve/veya sızıntı suyuna yönelik tedbir alınmalı, kirlilik oluşması durumunda kirlenen yüzey dezenfekte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Görevli personelin kullanılan ekipmanları ve kişisel malzemelerini dezenfekte ederek hijyeninin sağlanması sağlanmalıdır.</w:t>
      </w:r>
    </w:p>
    <w:p w:rsidR="0062652D" w:rsidRDefault="0062652D" w:rsidP="002073F9"/>
    <w:sectPr w:rsidR="0062652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2073F9"/>
    <w:rsid w:val="0062652D"/>
    <w:rsid w:val="006E6569"/>
    <w:rsid w:val="00A51A6D"/>
    <w:rsid w:val="00EB5AA2"/>
    <w:rsid w:val="00F026C5"/>
    <w:rsid w:val="00F74F24"/>
    <w:rsid w:val="00F82143"/>
    <w:rsid w:val="00FB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C32C"/>
  <w15:docId w15:val="{386FF62D-6B48-4D39-971F-59B7501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7</cp:revision>
  <dcterms:created xsi:type="dcterms:W3CDTF">2020-08-06T10:00:00Z</dcterms:created>
  <dcterms:modified xsi:type="dcterms:W3CDTF">2021-09-02T13:22:00Z</dcterms:modified>
</cp:coreProperties>
</file>